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Сурдология-оториноларингология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Сурдология-оториноларингология | Записей: 1 | Кейс: 1 | Вопросов: 12</w:t>
      </w:r>
    </w:p>
    <w:p>
      <w:r>
        <w:br w:type="page"/>
      </w:r>
    </w:p>
    <w:p>
      <w:pPr>
        <w:pStyle w:val="Heading1"/>
      </w:pPr>
      <w:r>
        <w:t>Сурдология-оториноларингология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Сурдология-оториноларингология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55 лет на приеме у врача-сурдолога-оториноларинголога.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постоянный зуд в правом ухе, заложенность правого уха, дискомфорт, периодическую боль в правом ухе.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пациента, жалобы в течение 14 дней. Из анамнеза известно, что за последние 3 месяца неоднократно получал курсы системной антибактериальной терапии.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Наличие хронических заболеваний лор-органов отрицает.</w:t>
      </w:r>
    </w:p>
    <w:p>
      <w:pPr>
        <w:spacing w:after="58"/>
      </w:pPr>
      <w:r>
        <w:rPr>
          <w:b w:val="0"/>
          <w:i w:val="0"/>
        </w:rPr>
        <w:t>Наследственный анамнез – снижения слуха у родственников нет.</w:t>
      </w:r>
    </w:p>
    <w:p>
      <w:pPr>
        <w:spacing w:after="58"/>
      </w:pPr>
      <w:r>
        <w:rPr>
          <w:b w:val="0"/>
          <w:i w:val="0"/>
        </w:rPr>
        <w:t>Аллергологический анамнез – аллергию на лекарственные средства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Вес 96 кг, рост 192 см. Температура тела 36,6°С. Кожные покровы бледно-розовые, влажные. АД 120/90 мм рт. ст.</w:t>
      </w:r>
    </w:p>
    <w:p>
      <w:pPr>
        <w:spacing w:after="58"/>
      </w:pPr>
      <w:r>
        <w:rPr>
          <w:b w:val="0"/>
          <w:i w:val="0"/>
        </w:rPr>
        <w:t>При осмотре полости носа – носовая перегородка по средней линии; нижние носовые раковины розовые, влажные, не увеличены; отделяемого в носовых ходах нет.</w:t>
      </w:r>
    </w:p>
    <w:p>
      <w:pPr>
        <w:spacing w:after="58"/>
      </w:pPr>
      <w:r>
        <w:rPr>
          <w:b w:val="0"/>
          <w:i w:val="0"/>
        </w:rPr>
        <w:t>При осмотре глотки и гортани патологии не выявлено.</w:t>
      </w:r>
    </w:p>
    <w:p>
      <w:pPr>
        <w:spacing w:after="58"/>
      </w:pPr>
      <w:r>
        <w:rPr>
          <w:b w:val="0"/>
          <w:i w:val="0"/>
        </w:rPr>
        <w:t>При отоскопии:</w:t>
      </w:r>
    </w:p>
    <w:p>
      <w:pPr>
        <w:spacing w:after="58"/>
      </w:pPr>
      <w:r>
        <w:rPr>
          <w:b w:val="0"/>
          <w:i w:val="0"/>
        </w:rPr>
        <w:t>AS – наружный слуховой проход широкий, свободный, барабанная перепонка – серая, опознавательные знаки сохранены.</w:t>
      </w:r>
    </w:p>
    <w:p>
      <w:pPr>
        <w:spacing w:after="58"/>
      </w:pPr>
      <w:r>
        <w:rPr>
          <w:b w:val="0"/>
          <w:i w:val="0"/>
        </w:rPr>
        <w:t>AD – ушная раковина без особенностей, умеренное сужение наружного слухового прохода, более выраженное в хрящевом отделе. Кожа слухового прохода умеренно отечная, розовой окраски. В слуховом проходе – отделяемое творожистой консистенции, беловатого цвета. Барабанная перепонка серого цвета, отечная, знаки сглажены.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Для уточнения диагноза данному пациенту показано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рентгенографии околоносовых пазух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отомикроскопии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рентгенографии височных костей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тональной пороговой аудиометрии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отомикроскопии</w:t>
      </w:r>
    </w:p>
    <w:p>
      <w:pPr>
        <w:ind w:left="504"/>
      </w:pPr>
      <w:r>
        <w:rPr>
          <w:b w:val="0"/>
          <w:i/>
        </w:rPr>
        <w:t>При всех формах отомикоза отмечен общий микроотоскопический признак – наличие у всех больных отделяемого в просвете наружного слухового прохода.</w:t>
        <w:br/>
        <w:br/>
      </w:r>
      <w:hyperlink r:id="rId9">
        <w:r>
          <w:rPr>
            <w:color w:val="0F766E"/>
            <w:u w:val="single"/>
          </w:rPr>
          <w:t>Грибковый отит.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У пациента имеют место характерные отоскопические признаки заболевания.</w:t>
      </w:r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Отомикроскопия</w:t>
      </w:r>
    </w:p>
    <w:p>
      <w:pPr>
        <w:spacing w:after="58"/>
      </w:pPr>
      <w:r>
        <w:rPr>
          <w:b w:val="0"/>
          <w:i w:val="0"/>
        </w:rPr>
        <w:t>Отделяемое в наружном слуховом проходе, признаки локального воспалительного процесса</w:t>
      </w:r>
    </w:p>
    <w:p>
      <w:pPr>
        <w:pStyle w:val="Heading3"/>
      </w:pPr>
      <w:r>
        <w:t>3.4. Рентгенография околоносовых пазух</w:t>
      </w:r>
    </w:p>
    <w:p>
      <w:pPr>
        <w:spacing w:after="58"/>
      </w:pPr>
      <w:r>
        <w:rPr>
          <w:b w:val="0"/>
          <w:i w:val="0"/>
        </w:rPr>
        <w:t>Околоносовые пазухи воздушны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выявления возможных причин развития заболевания данному пациенту показана консультация врача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сурдолога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иммунолога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отохирурга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невролога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иммунолога</w:t>
      </w:r>
    </w:p>
    <w:p>
      <w:pPr>
        <w:ind w:left="504"/>
      </w:pPr>
      <w:r>
        <w:rPr>
          <w:b w:val="0"/>
          <w:i/>
        </w:rPr>
        <w:t>Консультация проводится с целью выявления этиопатогенетических факторов развития, рецидивирующего отомикоза, выявления и коррекции иммунодефицитных состояний.</w:t>
        <w:br/>
        <w:br/>
      </w:r>
      <w:hyperlink r:id="rId9">
        <w:r>
          <w:rPr>
            <w:color w:val="0F766E"/>
            <w:u w:val="single"/>
          </w:rPr>
          <w:t>Грибковый отит.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Консультация врача-иммунолога</w:t>
      </w:r>
    </w:p>
    <w:p>
      <w:pPr>
        <w:spacing w:after="58"/>
      </w:pPr>
      <w:r>
        <w:rPr>
          <w:b w:val="0"/>
          <w:i w:val="0"/>
        </w:rPr>
        <w:t>Иммунологический статус в норме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 основании жалоб, данных анамнеза, клинического осмотра и инструментальных методов обследования данному больному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Отомикоз справа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Правосторонний мезотимпанит, обострение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Острый правосторонний гнойный средний отит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Инородное тело наружного слухового прохода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Отомикоз справа</w:t>
      </w:r>
    </w:p>
    <w:p>
      <w:pPr>
        <w:ind w:left="504"/>
      </w:pPr>
      <w:r>
        <w:rPr>
          <w:b w:val="0"/>
          <w:i/>
        </w:rPr>
        <w:t>Критерии диагноза:</w:t>
        <w:br/>
        <w:br/>
        <w:t>* Наличие характерных жалоб на зуд в левом ухе, дискомфорт, заложенность.</w:t>
        <w:br/>
        <w:br/>
        <w:t>* Данные отоскопии:</w:t>
        <w:br/>
        <w:br/>
        <w:t>* Данные обследования: отомикоз слева.</w:t>
        <w:br/>
        <w:br/>
      </w:r>
      <w:hyperlink r:id="rId9">
        <w:r>
          <w:rPr>
            <w:color w:val="0F766E"/>
            <w:u w:val="single"/>
          </w:rPr>
          <w:t>Грибковый отит.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Отомикоз справа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окончательного подтверждения диагноза необходимо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повторное микробиологическое исследование отделяемого из ушей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компьютерную томографию височных костей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аудиометрию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импедансометрию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повторное микробиологическое исследование отделяемого из ушей</w:t>
      </w:r>
    </w:p>
    <w:p>
      <w:pPr>
        <w:ind w:left="504"/>
      </w:pPr>
      <w:r>
        <w:rPr>
          <w:b w:val="0"/>
          <w:i/>
        </w:rPr>
        <w:t>Рекомендуется проведение повторного исследования патологического отделяемого.</w:t>
        <w:br/>
        <w:br/>
        <w:t>Комментарии: Грибковое поражение уха может быть заподозрено на основании данных отоскопии, но решающее значение имеют микологические лабораторные методы исследования. При этом однократно полученные отрицательные результаты не указывают на отсутствие грибкового заболевания. В данной ситуации рекомендовано проведение повторного исследования патологического отделяемого. И наоборот, единичный рост грибов в посеве не всегда свидетельствует о грибковом патологическом процессе.</w:t>
        <w:br/>
        <w:br/>
      </w:r>
      <w:hyperlink r:id="rId9">
        <w:r>
          <w:rPr>
            <w:color w:val="0F766E"/>
            <w:u w:val="single"/>
          </w:rPr>
          <w:t>Грибковый отит.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Данному пациенту при отсутствии противопоказаний показано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физиотерапии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хирургического лечения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инфузионной терапии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консервативного лечения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консервативного лечения</w:t>
      </w:r>
    </w:p>
    <w:p>
      <w:pPr>
        <w:ind w:left="504"/>
      </w:pPr>
      <w:r>
        <w:rPr>
          <w:b w:val="0"/>
          <w:i/>
        </w:rPr>
        <w:t>Рекомендуется назначение местных лекарственных форм. Назначение системных противогрибковых препаратов показано при сопутствующем микозе среднего уха и микозе послеоперационной полости среднего уха. Туалет уха.</w:t>
        <w:br/>
        <w:br/>
      </w:r>
      <w:hyperlink r:id="rId9">
        <w:r>
          <w:rPr>
            <w:color w:val="0F766E"/>
            <w:u w:val="single"/>
          </w:rPr>
          <w:t>Грибковый отит.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С целью лечения заболевания данному пациенту показано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внутримышечных инъекций антибактериальных препаратов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инфузионной 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операции на правом ухе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местных противогрибковых препаратов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местных противогрибковых препаратов</w:t>
      </w:r>
    </w:p>
    <w:p>
      <w:pPr>
        <w:ind w:left="504"/>
      </w:pPr>
      <w:r>
        <w:rPr>
          <w:b w:val="0"/>
          <w:i/>
        </w:rPr>
        <w:t>Рекомендуется назначение местных лекарственных форм. Назначение системных противогрибковых препаратов показано при сопутствующем микозе среднего уха и микозе послеоперационной полости среднего уха. Туалет уха.</w:t>
        <w:br/>
        <w:br/>
      </w:r>
      <w:hyperlink r:id="rId9">
        <w:r>
          <w:rPr>
            <w:color w:val="0F766E"/>
            <w:u w:val="single"/>
          </w:rPr>
          <w:t>Грибковый отит.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Физиотерапевтическое лечение данному пациенту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должно проводиться через 1 неделю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показано через 10 дней.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должно быть назначено с первых дней заболевания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 показано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показано</w:t>
      </w:r>
    </w:p>
    <w:p>
      <w:pPr>
        <w:ind w:left="504"/>
      </w:pPr>
      <w:r>
        <w:rPr>
          <w:b w:val="0"/>
          <w:i/>
        </w:rPr>
        <w:t>Не рекомендуется физиотерапевтическое воздействие</w:t>
        <w:br/>
        <w:br/>
      </w:r>
      <w:hyperlink r:id="rId9">
        <w:r>
          <w:rPr>
            <w:color w:val="0F766E"/>
            <w:u w:val="single"/>
          </w:rPr>
          <w:t>Грибковый отит.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Компьютерная томография височных костей данному пациенту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должна быть проведена как можно раньше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 показана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показана через 2 месяца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показана при необходимости через 1 месяц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показана</w:t>
      </w:r>
    </w:p>
    <w:p>
      <w:pPr>
        <w:ind w:left="504"/>
      </w:pPr>
      <w:r>
        <w:rPr>
          <w:b w:val="0"/>
          <w:i/>
        </w:rPr>
        <w:t>Не входит в стандарт оказания помощи по профилю.</w:t>
        <w:br/>
        <w:br/>
      </w:r>
      <w:hyperlink r:id="rId9">
        <w:r>
          <w:rPr>
            <w:color w:val="0F766E"/>
            <w:u w:val="single"/>
          </w:rPr>
          <w:t>Грибковый отит.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проведении туалета уха у данного пациента наибольшее внимание следует уделять +______________+ отделу наружного слухового прохода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передне-нижнему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задне-верхнему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задне-нижнему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передне-верхнему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передне-нижнему</w:t>
      </w:r>
    </w:p>
    <w:p>
      <w:pPr>
        <w:ind w:left="504"/>
      </w:pPr>
      <w:r>
        <w:rPr>
          <w:b w:val="0"/>
          <w:i/>
        </w:rPr>
        <w:t>При наружном микотическом отите большое значение придается очистке передне-нижнего отдела наружного слухового прохода. Тщательному туалету уха придается особое значение, поскольку даже незначительное количество микотических масс заметно удлиняет длительность лечения и, соответственно, растягивает сроки выздоровления.</w:t>
        <w:br/>
        <w:br/>
      </w:r>
      <w:hyperlink r:id="rId9">
        <w:r>
          <w:rPr>
            <w:color w:val="0F766E"/>
            <w:u w:val="single"/>
          </w:rPr>
          <w:t>Грибковый отит.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Пациенту после выписки следует рекомендовать периодически обрабатывать кожу наружных слуховых проходов +_________________+ препаратами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антигистаминными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антисептическими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антибактериальными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антимикотическими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антимикотическими</w:t>
      </w:r>
    </w:p>
    <w:p>
      <w:pPr>
        <w:ind w:left="504"/>
      </w:pPr>
      <w:r>
        <w:rPr>
          <w:b w:val="0"/>
          <w:i/>
        </w:rPr>
        <w:t>Профилактика рецидивов ОМ:</w:t>
        <w:br/>
        <w:br/>
        <w:t>* один раз в неделю (в течение 4-6 недель) смазывание кожи наружного слухового прохода вышеуказанными антимикотическими препаратами.</w:t>
        <w:br/>
        <w:br/>
      </w:r>
      <w:hyperlink r:id="rId9">
        <w:r>
          <w:rPr>
            <w:color w:val="0F766E"/>
            <w:u w:val="single"/>
          </w:rPr>
          <w:t>Грибковый отит.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Данному пациенту показано проведение туалета уха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 окончании курса лечения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до начала применения местной 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через 10 дней после выздоровления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раз в 7 дней после выздоровления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 начала применения местной терапии</w:t>
      </w:r>
    </w:p>
    <w:p>
      <w:pPr>
        <w:ind w:left="504"/>
      </w:pPr>
      <w:r>
        <w:rPr>
          <w:b w:val="0"/>
          <w:i/>
        </w:rPr>
        <w:t>Рекомендуется кроме проведения местной терапии осуществлять предварительную тщательную очистку уха от патологического отделяемого.</w:t>
        <w:br/>
        <w:br/>
        <w:t>Тщательному туалету уха придается особое значение, поскольку даже незначительное количество микотических масс заметно удлиняет длительность лечения и, соответственно, растягивает сроки выздоровления.</w:t>
        <w:br/>
        <w:br/>
      </w:r>
      <w:hyperlink r:id="rId9">
        <w:r>
          <w:rPr>
            <w:color w:val="0F766E"/>
            <w:u w:val="single"/>
          </w:rPr>
          <w:t>Грибковый отит.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Динамическое наблюдение с целью профилактики рецидивов отомикоза следует рекомендовать в течение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14 дней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 дней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6 месяцев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месяца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 месяцев</w:t>
      </w:r>
    </w:p>
    <w:p>
      <w:pPr>
        <w:ind w:left="504"/>
      </w:pPr>
      <w:r>
        <w:rPr>
          <w:b w:val="0"/>
          <w:i/>
        </w:rPr>
        <w:t>Профилактика рецидивов ОМ:</w:t>
        <w:br/>
        <w:br/>
        <w:t>* динамическое наблюдение за больным в течение б месяцев</w:t>
        <w:br/>
        <w:br/>
      </w:r>
      <w:hyperlink r:id="rId9">
        <w:r>
          <w:rPr>
            <w:color w:val="0F766E"/>
            <w:u w:val="single"/>
          </w:rPr>
          <w:t>Грибковый отит. Клинические рекомендации Министерства здравоохранения Российской Федерации, 2016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cr_35/" TargetMode="External"/><Relationship Id="rId10" Type="http://schemas.openxmlformats.org/officeDocument/2006/relationships/hyperlink" Target="https://library.mededtech.ru/rest/documents/cr_35/#list_item_d7tei" TargetMode="External"/><Relationship Id="rId11" Type="http://schemas.openxmlformats.org/officeDocument/2006/relationships/hyperlink" Target="https://library.mededtech.ru/rest/documents/cr_35/#list_item_3444t" TargetMode="External"/><Relationship Id="rId12" Type="http://schemas.openxmlformats.org/officeDocument/2006/relationships/hyperlink" Target="https://library.mededtech.ru/rest/documents/cr_35/#doc_2" TargetMode="External"/><Relationship Id="rId13" Type="http://schemas.openxmlformats.org/officeDocument/2006/relationships/hyperlink" Target="https://library.mededtech.ru/rest/documents/cr_35/#paragraph_92b1a" TargetMode="External"/><Relationship Id="rId14" Type="http://schemas.openxmlformats.org/officeDocument/2006/relationships/hyperlink" Target="https://library.mededtech.ru/rest/documents/cr_35/#3_1_&#1082;&#1086;&#1085;&#1089;&#1077;&#1088;&#1074;&#1072;&#1090;&#1080;&#1074;&#1085;&#1086;&#1077;_&#1083;&#1077;&#1095;&#1077;&#1085;&#1080;&#1077;" TargetMode="External"/><Relationship Id="rId15" Type="http://schemas.openxmlformats.org/officeDocument/2006/relationships/hyperlink" Target="https://library.mededtech.ru/rest/documents/cr_35/#list_item_0e1c1" TargetMode="External"/><Relationship Id="rId16" Type="http://schemas.openxmlformats.org/officeDocument/2006/relationships/hyperlink" Target="https://library.mededtech.ru/rest/documents/cr_35/#doc_criteria" TargetMode="External"/><Relationship Id="rId17" Type="http://schemas.openxmlformats.org/officeDocument/2006/relationships/hyperlink" Target="https://library.mededtech.ru/rest/documents/cr_35/#paragraph_24bv5" TargetMode="External"/><Relationship Id="rId18" Type="http://schemas.openxmlformats.org/officeDocument/2006/relationships/hyperlink" Target="https://library.mededtech.ru/rest/documents/cr_35/#list_item_f2mb4" TargetMode="External"/><Relationship Id="rId19" Type="http://schemas.openxmlformats.org/officeDocument/2006/relationships/hyperlink" Target="https://library.mededtech.ru/rest/documents/cr_35/#list_item_nr8ck" TargetMode="External"/><Relationship Id="rId20" Type="http://schemas.openxmlformats.org/officeDocument/2006/relationships/hyperlink" Target="https://library.mededtech.ru/rest/documents/cr_35/#list_item_s6q5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